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ascii="仿宋_GB2312" w:eastAsia="仿宋_GB2312"/>
          <w:sz w:val="32"/>
          <w:szCs w:val="32"/>
        </w:rPr>
      </w:pPr>
      <w:r>
        <w:rPr>
          <w:rFonts w:hint="eastAsia" w:ascii="仿宋_GB2312" w:eastAsia="仿宋_GB2312"/>
          <w:sz w:val="32"/>
          <w:szCs w:val="32"/>
        </w:rPr>
        <w:t>附</w:t>
      </w:r>
      <w:r>
        <w:rPr>
          <w:rFonts w:hint="default" w:ascii="仿宋_GB2312" w:eastAsia="仿宋_GB2312"/>
          <w:sz w:val="32"/>
          <w:szCs w:val="32"/>
        </w:rPr>
        <w:t>4</w:t>
      </w:r>
      <w:r>
        <w:rPr>
          <w:rFonts w:hint="eastAsia" w:ascii="仿宋_GB2312" w:eastAsia="仿宋_GB2312"/>
          <w:sz w:val="32"/>
          <w:szCs w:val="32"/>
        </w:rPr>
        <w:t>：</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4488"/>
        <w:gridCol w:w="1144"/>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8414" w:type="dxa"/>
            <w:gridSpan w:val="4"/>
            <w:shd w:val="clear" w:color="auto" w:fill="auto"/>
            <w:noWrap/>
            <w:vAlign w:val="top"/>
          </w:tcPr>
          <w:p>
            <w:pPr>
              <w:jc w:val="center"/>
              <w:rPr>
                <w:rFonts w:ascii="黑体" w:hAnsi="黑体" w:eastAsia="黑体"/>
                <w:sz w:val="32"/>
                <w:szCs w:val="32"/>
              </w:rPr>
            </w:pPr>
            <w:r>
              <w:rPr>
                <w:rFonts w:hint="eastAsia" w:ascii="黑体" w:hAnsi="黑体" w:eastAsia="黑体"/>
                <w:sz w:val="32"/>
                <w:szCs w:val="32"/>
              </w:rPr>
              <w:t>2022年度</w:t>
            </w:r>
            <w:r>
              <w:rPr>
                <w:rFonts w:hint="eastAsia" w:ascii="黑体" w:hAnsi="黑体" w:eastAsia="黑体"/>
                <w:sz w:val="32"/>
                <w:szCs w:val="32"/>
                <w:lang w:val="en-US" w:eastAsia="zh-Hans"/>
              </w:rPr>
              <w:t>市社科联</w:t>
            </w:r>
            <w:bookmarkStart w:id="0" w:name="_GoBack"/>
            <w:bookmarkEnd w:id="0"/>
            <w:r>
              <w:rPr>
                <w:rFonts w:hint="eastAsia" w:ascii="黑体" w:hAnsi="黑体" w:eastAsia="黑体"/>
                <w:sz w:val="32"/>
                <w:szCs w:val="32"/>
              </w:rPr>
              <w:t>社科重点课题立项项目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trPr>
        <w:tc>
          <w:tcPr>
            <w:tcW w:w="589" w:type="dxa"/>
            <w:shd w:val="clear" w:color="auto" w:fill="auto"/>
            <w:noWrap w:val="0"/>
            <w:vAlign w:val="top"/>
          </w:tcPr>
          <w:p>
            <w:pPr>
              <w:autoSpaceDE w:val="0"/>
              <w:autoSpaceDN w:val="0"/>
              <w:adjustRightInd w:val="0"/>
              <w:spacing w:line="560" w:lineRule="exact"/>
              <w:jc w:val="center"/>
              <w:rPr>
                <w:rFonts w:hint="eastAsia" w:ascii="宋体" w:hAnsi="宋体"/>
                <w:b/>
                <w:sz w:val="24"/>
                <w:szCs w:val="24"/>
              </w:rPr>
            </w:pPr>
            <w:r>
              <w:rPr>
                <w:rFonts w:hint="eastAsia" w:ascii="宋体" w:hAnsi="宋体"/>
                <w:b/>
                <w:sz w:val="24"/>
                <w:szCs w:val="24"/>
              </w:rPr>
              <w:t>序号</w:t>
            </w:r>
          </w:p>
        </w:tc>
        <w:tc>
          <w:tcPr>
            <w:tcW w:w="4488" w:type="dxa"/>
            <w:shd w:val="clear" w:color="auto" w:fill="auto"/>
            <w:noWrap w:val="0"/>
            <w:vAlign w:val="top"/>
          </w:tcPr>
          <w:p>
            <w:pPr>
              <w:autoSpaceDE w:val="0"/>
              <w:autoSpaceDN w:val="0"/>
              <w:adjustRightInd w:val="0"/>
              <w:spacing w:line="560" w:lineRule="exact"/>
              <w:jc w:val="center"/>
              <w:rPr>
                <w:rFonts w:hint="eastAsia" w:ascii="宋体" w:hAnsi="宋体"/>
                <w:b/>
                <w:sz w:val="24"/>
                <w:szCs w:val="24"/>
              </w:rPr>
            </w:pPr>
            <w:r>
              <w:rPr>
                <w:rFonts w:hint="eastAsia" w:ascii="宋体" w:hAnsi="宋体"/>
                <w:b/>
                <w:sz w:val="24"/>
                <w:szCs w:val="24"/>
              </w:rPr>
              <w:t>课题名称</w:t>
            </w:r>
          </w:p>
        </w:tc>
        <w:tc>
          <w:tcPr>
            <w:tcW w:w="1144" w:type="dxa"/>
            <w:shd w:val="clear" w:color="auto" w:fill="auto"/>
            <w:noWrap w:val="0"/>
            <w:vAlign w:val="top"/>
          </w:tcPr>
          <w:p>
            <w:pPr>
              <w:autoSpaceDE w:val="0"/>
              <w:autoSpaceDN w:val="0"/>
              <w:adjustRightInd w:val="0"/>
              <w:spacing w:line="560" w:lineRule="exact"/>
              <w:jc w:val="center"/>
              <w:rPr>
                <w:rFonts w:hint="eastAsia" w:ascii="宋体" w:hAnsi="宋体"/>
                <w:b/>
                <w:sz w:val="24"/>
                <w:szCs w:val="24"/>
              </w:rPr>
            </w:pPr>
            <w:r>
              <w:rPr>
                <w:rFonts w:hint="eastAsia" w:ascii="宋体" w:hAnsi="宋体"/>
                <w:b/>
                <w:sz w:val="24"/>
                <w:szCs w:val="24"/>
              </w:rPr>
              <w:t>负责人</w:t>
            </w:r>
          </w:p>
        </w:tc>
        <w:tc>
          <w:tcPr>
            <w:tcW w:w="2193" w:type="dxa"/>
            <w:shd w:val="clear" w:color="auto" w:fill="auto"/>
            <w:noWrap w:val="0"/>
            <w:vAlign w:val="top"/>
          </w:tcPr>
          <w:p>
            <w:pPr>
              <w:autoSpaceDE w:val="0"/>
              <w:autoSpaceDN w:val="0"/>
              <w:adjustRightInd w:val="0"/>
              <w:spacing w:line="560" w:lineRule="exact"/>
              <w:jc w:val="center"/>
              <w:rPr>
                <w:rFonts w:hint="eastAsia" w:ascii="宋体" w:hAnsi="宋体"/>
                <w:b/>
                <w:sz w:val="24"/>
                <w:szCs w:val="24"/>
              </w:rPr>
            </w:pPr>
            <w:r>
              <w:rPr>
                <w:rFonts w:hint="eastAsia" w:ascii="宋体" w:hAnsi="宋体"/>
                <w:b/>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54</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改革开放以来扬州主城区—江都空间关联演化与功能重构</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 xml:space="preserve">王丹 </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55</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扬州市完善农村人居环境整治长效机制研究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蒋丽</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56</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后疫情时代扬州城市民宿现状与发展路径研究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王淼</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57</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“立德树人”理念在高校音乐专业课程中的教学设计研究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封琴</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58</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地方高校教育资源对于推动学习型社会建设的影响研究——以社会音乐教育为例</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吴文婷</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59</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扬州毛绒玩具产业电商的集聚发展研究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陈郁青</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60</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学脉千年：大运河文化带书院教育的历史溯考与价值活化</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魏潘婷</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61</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“双减”政策背景下扬州地区青少年体育培训市场发展研究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沈竹雅</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62</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文旅融合背景下扬州“世界美食之都”品牌建设与开发研究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王兆成</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63</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高职院校校友资源助推扬州“好地方”建设的路径研究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李颖</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64</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以大运河文化赋能高校校园文化特色化建设研究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 xml:space="preserve">崔金辉 </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65</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数字经济时代下的职业教育研究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陈君</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66</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2022年疫情防控与“双减”背景下扬州校外教育培训机构现状与发展对策研究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华芳</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67</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“碳达峰，碳中和”目标下扬州交通碳排放量测算及绿色发展路径研究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沙爱敏</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68</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乡村振兴背景下的扬州市耕地保护研究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黄兴国</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69</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基于“双评价”的扬州市国土空间优化研究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李安芹</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70</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 xml:space="preserve">运河文化带的传统音乐资源与旅游产业互促发展策略探究——以扬州段为例 </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徐彩云</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71</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“双碳”目标下扬州氢能产业发展路径研究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张建宏</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72</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物联网技术在扬州市现代农业的应用研究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张静</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73</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数字经济背景下高等职业院校发展思路</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胡珂</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74</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医疗卫生与养老服务相结合研究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李芹</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75</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扬州传统非遗的数字化传承与创新</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姚干勤</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76</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扬州市老旧小区改造的实践分析与对策</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王鹏</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77</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乡村振兴背景下现代农业园区建设政府功能优化研究---以海峡两岸（扬州）农业合作试验区广陵观光农业核心区为例</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杨萍</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78</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双循环格局下扬州先进制造业高质量发展路径研究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朱亚东</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79</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科技创新背景下扬州加快新型基础设施建设的模式及路径研究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于斐</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80</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扬州市重点河湖健康评估和治理措施研究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魏峰</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81</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传统工艺美术的时代化改进对策研究——以扬州工艺美术品牌的“年轻化”为例</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陈皎月</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82</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因运而生：基于运河文化独特性的扬州中国大运河博物馆文创产品设计</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肖玉婷</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83</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新形势下促进多渠道灵活就业的对策研究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王凤明</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84</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碳达峰背景下的产业绿色转型对策研究-以扬州市为例</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刘文桃</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85</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基于大数据的扬州市街道活力评价研究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徐艳</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86</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坚持佛教中国化方向的地方实践研究——以扬州佛教40年发展历程为例</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马越</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87</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疫情常态化下扬州市中小微企业外贸“破零”国际化发展推进路径探索</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马冷冷</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88</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文化符号的视觉呈现在扬州传统  文化拓展研究中的跨界应用探讨</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曹雪青</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89</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扬州市地方政府债务风险与防范研究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俞富坤</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90</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城市公共文化空间的泛在服务形态考察——以扬州市“城市书房”为例</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尤微</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91</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双碳背景下家庭厨余垃圾减量化资源化对策研究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刘海春</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92</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针对老年群体的公共文化资源配置优化路径</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金涛</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93</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老旧小区改造的实践分析与对策研究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高云婕</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94</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扬州地方立法语言规范化研究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魏巍巍</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95</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文化适应理论视角下高校留学生语言能力培养与提升策略研究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王元明</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96</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后疫情视域下扬州实体经济发展现状及对策分析</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姚忠</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97</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基于事件域与动作链互动模型的动态行为语篇研究：以扬州评话《武松——斗杀西门庆》为例</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张靖宇</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98</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常态化疫情防控下扬州旅游业升级转型的思路</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唐建</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99</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基于 AHP 扬州农村物流最后一公里的影响因素及效能提升研究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王义芳</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100</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“东亚文化之都“建设与扬州文旅资源整合的提升研究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袁菡瑶</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101</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打造扬州大运河线性文化遗产走廊，塑造城市生态廊道</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许歆云</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102</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 xml:space="preserve">扬州市机器人及智能装备产业发展现状分析与对策建议 </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方小坤</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103</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“一带一路”背景下基于产教融合的扬州高校来华留学生培养研究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沐卫萍</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104</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新时代高职生地方红色文化认同培育路径研究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姜静</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105</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世界美食之都背景下淮扬菜名日译及饮食文化传播研究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徐芸芸</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106</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扬州市休闲观光农业发展策略研究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王祥菊</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107</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扬州城市环境提升对策研究——打造传统与时尚结合的新城市风格</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张晨</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108</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依托运河文化资源提升高校人才城市认同感的策略研究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王燕</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109</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扬州传统产业与战略新兴产业协同发展的对策研究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戴孝林</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110</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扬州基层公共文化资源配置现状和发展研究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李银川</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111</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扬州就业市场与产业发展的现状分析与研究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朱萌</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112</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扬州市共享电单车发展现状及对策研究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苏清斌</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113</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微网格员视角：大数据条件下的社会“网格化”治理问题研究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李莉</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114</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大运河文化带文化载体建设背景下扬州音乐创作研究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李晔</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115</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扬州市城市河流治理中的伦理行为路径研究——以沿山河邗江段为例</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高志明</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116</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依托数字乡村建设巩固拓展脱贫攻坚成果与乡村振兴的有效衔接</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蔡燕</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117</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 xml:space="preserve"> 扬州体育与旅游融合发展实施途径研究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李红智</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118</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疫情防控背景下扬州突发公共卫生事件应急机制中社会心理支持体系的构建与探索</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孙雯</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119</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城市集群化背景下体育与旅游融合发展研究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梁希</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120</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三孩生育政策下家庭式托育服务体系规范化发展研究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王睿智</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121</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扬州市营商环境优化研究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丁万宇</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122</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“数字+文化”助推扬州文旅产业高质量发展的策略研究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丁苏宁</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123</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“世界美食之都”品牌的个性化打造研究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从菡芝</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124</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数字经济背景下扬州高职学生高质量就业研究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柏雨佳</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125</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扬州高校毕业生就地择业状况研究——以扬州职业大学为例</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陈洁</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126</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扬州市民间艺术促进乡村道德文化建设路径研究——以高邮市为例</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古良琴</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127</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疫情时代扬州高校归国留学人才统战工作研究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刘云</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589" w:type="dxa"/>
            <w:shd w:val="clear" w:color="auto" w:fill="auto"/>
            <w:noWrap/>
            <w:vAlign w:val="top"/>
          </w:tcPr>
          <w:p>
            <w:pPr>
              <w:rPr>
                <w:rFonts w:hint="eastAsia" w:ascii="仿宋_GB2312" w:eastAsia="仿宋_GB2312"/>
                <w:sz w:val="24"/>
                <w:szCs w:val="24"/>
              </w:rPr>
            </w:pPr>
            <w:r>
              <w:rPr>
                <w:rFonts w:hint="eastAsia" w:ascii="仿宋_GB2312" w:eastAsia="仿宋_GB2312"/>
                <w:sz w:val="24"/>
                <w:szCs w:val="24"/>
              </w:rPr>
              <w:t>128</w:t>
            </w:r>
          </w:p>
        </w:tc>
        <w:tc>
          <w:tcPr>
            <w:tcW w:w="4488"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后疫情时代扬城学子在线学习对策研究</w:t>
            </w:r>
          </w:p>
        </w:tc>
        <w:tc>
          <w:tcPr>
            <w:tcW w:w="1144"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陈青青</w:t>
            </w:r>
          </w:p>
        </w:tc>
        <w:tc>
          <w:tcPr>
            <w:tcW w:w="2193" w:type="dxa"/>
            <w:shd w:val="clear" w:color="auto" w:fill="auto"/>
            <w:noWrap w:val="0"/>
            <w:vAlign w:val="top"/>
          </w:tcPr>
          <w:p>
            <w:pPr>
              <w:rPr>
                <w:rFonts w:hint="eastAsia" w:ascii="仿宋_GB2312" w:eastAsia="仿宋_GB2312"/>
                <w:sz w:val="24"/>
                <w:szCs w:val="24"/>
              </w:rPr>
            </w:pPr>
            <w:r>
              <w:rPr>
                <w:rFonts w:hint="eastAsia" w:ascii="仿宋_GB2312" w:eastAsia="仿宋_GB2312"/>
                <w:sz w:val="24"/>
                <w:szCs w:val="24"/>
              </w:rPr>
              <w:t>扬州市职业大学</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roman"/>
    <w:pitch w:val="default"/>
    <w:sig w:usb0="A00002BF" w:usb1="38CF7CFA" w:usb2="00082016" w:usb3="00000000" w:csb0="00040001" w:csb1="00000000"/>
  </w:font>
  <w:font w:name="方正小标宋简体">
    <w:altName w:val="汉仪书宋二KW"/>
    <w:panose1 w:val="02010601030101010101"/>
    <w:charset w:val="00"/>
    <w:family w:val="auto"/>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黑体">
    <w:altName w:val="汉仪中黑KW"/>
    <w:panose1 w:val="02010609060101010101"/>
    <w:charset w:val="00"/>
    <w:family w:val="modern"/>
    <w:pitch w:val="default"/>
    <w:sig w:usb0="00000000" w:usb1="00000000" w:usb2="00000016"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微软雅黑">
    <w:altName w:val="汉仪旗黑"/>
    <w:panose1 w:val="020B0503020204020204"/>
    <w:charset w:val="00"/>
    <w:family w:val="swiss"/>
    <w:pitch w:val="default"/>
    <w:sig w:usb0="00000000" w:usb1="00000000" w:usb2="00000016" w:usb3="00000000" w:csb0="0004001F"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D28DE"/>
    <w:rsid w:val="3DED28DE"/>
    <w:rsid w:val="4BCCB85A"/>
    <w:rsid w:val="DAFF3A8C"/>
    <w:rsid w:val="FDE76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2022-10-14T10:20:00Z</dcterms:created>
  <dc:creator>rumi</dc:creator>
  <cp:lastModifiedBy>rumi</cp:lastModifiedBy>
  <dcterms:modified xsi:type="dcterms:W3CDTF">2022-10-13T13:07:12Z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