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ind w:firstLine="0" w:firstLineChars="0"/>
      </w:pPr>
    </w:p>
    <w:p>
      <w:pPr>
        <w:spacing w:line="500" w:lineRule="exact"/>
        <w:jc w:val="center"/>
        <w:rPr>
          <w:rFonts w:ascii="方正小标宋简体" w:hAnsi="华文中宋" w:eastAsia="方正小标宋简体" w:cs="Times New Roman"/>
          <w:spacing w:val="-20"/>
          <w:sz w:val="44"/>
          <w:szCs w:val="44"/>
        </w:rPr>
      </w:pPr>
      <w:r>
        <w:rPr>
          <w:rFonts w:hint="eastAsia" w:ascii="方正小标宋简体" w:hAnsi="华文中宋" w:eastAsia="方正小标宋简体" w:cs="Times New Roman"/>
          <w:spacing w:val="-20"/>
          <w:sz w:val="44"/>
          <w:szCs w:val="44"/>
        </w:rPr>
        <w:t>江苏艺术基金（一般项目）202</w:t>
      </w:r>
      <w:r>
        <w:rPr>
          <w:rFonts w:ascii="方正小标宋简体" w:hAnsi="华文中宋" w:eastAsia="方正小标宋简体" w:cs="Times New Roman"/>
          <w:spacing w:val="-20"/>
          <w:sz w:val="44"/>
          <w:szCs w:val="44"/>
        </w:rPr>
        <w:t>4</w:t>
      </w:r>
      <w:r>
        <w:rPr>
          <w:rFonts w:hint="eastAsia" w:ascii="方正小标宋简体" w:hAnsi="华文中宋" w:eastAsia="方正小标宋简体" w:cs="Times New Roman"/>
          <w:spacing w:val="-20"/>
          <w:sz w:val="44"/>
          <w:szCs w:val="44"/>
        </w:rPr>
        <w:t>年度资助</w:t>
      </w:r>
    </w:p>
    <w:p>
      <w:pPr>
        <w:spacing w:line="500" w:lineRule="exact"/>
        <w:jc w:val="center"/>
        <w:rPr>
          <w:rFonts w:ascii="方正小标宋简体" w:hAnsi="华文中宋" w:eastAsia="方正小标宋简体" w:cs="Times New Roman"/>
          <w:spacing w:val="-20"/>
          <w:sz w:val="44"/>
          <w:szCs w:val="44"/>
        </w:rPr>
      </w:pPr>
      <w:r>
        <w:rPr>
          <w:rFonts w:hint="eastAsia" w:ascii="方正小标宋简体" w:hAnsi="华文中宋" w:eastAsia="方正小标宋简体" w:cs="Times New Roman"/>
          <w:spacing w:val="-20"/>
          <w:sz w:val="44"/>
          <w:szCs w:val="44"/>
        </w:rPr>
        <w:t>项目申报指南</w:t>
      </w:r>
    </w:p>
    <w:p>
      <w:pPr>
        <w:spacing w:line="500" w:lineRule="exact"/>
        <w:ind w:firstLine="800" w:firstLineChars="200"/>
        <w:jc w:val="center"/>
        <w:rPr>
          <w:rFonts w:ascii="华文中宋" w:hAnsi="华文中宋" w:eastAsia="华文中宋" w:cs="Times New Roman"/>
          <w:spacing w:val="-20"/>
          <w:sz w:val="44"/>
          <w:szCs w:val="44"/>
        </w:rPr>
      </w:pP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江苏艺术基金采取项目申报和理事会组织相结合的方式，面向社会受理舞台艺术创作、舞台作品滚动资助、传播交流推广、艺术人才培养、美术创作项目的申报。根据《江苏艺术基金理事会章程》《江苏艺术基金使用和管理办法》，制定本指南。</w:t>
      </w:r>
    </w:p>
    <w:p>
      <w:pPr>
        <w:pStyle w:val="7"/>
        <w:numPr>
          <w:ilvl w:val="0"/>
          <w:numId w:val="1"/>
        </w:numPr>
        <w:shd w:val="clear" w:color="auto" w:fill="FFFFFF"/>
        <w:spacing w:before="0" w:beforeAutospacing="0" w:after="0" w:afterAutospacing="0" w:line="560" w:lineRule="exact"/>
        <w:jc w:val="both"/>
        <w:rPr>
          <w:rFonts w:ascii="黑体" w:hAnsi="黑体" w:eastAsia="黑体" w:cs="黑体"/>
          <w:bCs/>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资助宗旨</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江苏艺术基金资助项目坚持以习近平新时代中国特色社会主义思想为指导，全面贯彻落实党的二十大精神，深入学习贯彻习近平文化思想，为加快建设社会主义文化强省、在建设中华民族现代文明上探索新经验贡献艺术力量。资助项目坚持以人民为中心的创作导向，坚持“二为”方向、“双百”方针，广泛弘扬社会主义核心价值观，坚持创造性转化、创新性发展，推出更多增强人民精神力量的优秀作品。</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ascii="仿宋" w:hAnsi="仿宋" w:eastAsia="仿宋" w:cs="Tahoma"/>
          <w:snapToGrid w:val="0"/>
          <w:color w:val="000000"/>
          <w:kern w:val="0"/>
          <w:sz w:val="32"/>
          <w:szCs w:val="32"/>
        </w:rPr>
        <w:t>本年度聚焦反映、展现和讴歌新时代新征程的现实题材创作</w:t>
      </w:r>
      <w:r>
        <w:rPr>
          <w:rFonts w:hint="eastAsia" w:ascii="仿宋" w:hAnsi="仿宋" w:eastAsia="仿宋" w:cs="Tahoma"/>
          <w:snapToGrid w:val="0"/>
          <w:color w:val="000000"/>
          <w:kern w:val="0"/>
          <w:sz w:val="32"/>
          <w:szCs w:val="32"/>
        </w:rPr>
        <w:t>；重点围绕“强富美高”新江苏现代化建设中相关重大主题创作以及长江大运河文化主题创作，承载中华优秀传统文化、民族精神的传统历史题材的艺术精品创作；</w:t>
      </w:r>
      <w:r>
        <w:rPr>
          <w:rFonts w:ascii="仿宋" w:hAnsi="仿宋" w:eastAsia="仿宋" w:cs="Tahoma"/>
          <w:snapToGrid w:val="0"/>
          <w:color w:val="000000"/>
          <w:kern w:val="0"/>
          <w:sz w:val="32"/>
          <w:szCs w:val="32"/>
        </w:rPr>
        <w:t>关注戏曲传承振兴发展</w:t>
      </w:r>
      <w:r>
        <w:rPr>
          <w:rFonts w:hint="eastAsia" w:ascii="仿宋" w:hAnsi="仿宋" w:eastAsia="仿宋" w:cs="Tahoma"/>
          <w:snapToGrid w:val="0"/>
          <w:color w:val="000000"/>
          <w:kern w:val="0"/>
          <w:sz w:val="32"/>
          <w:szCs w:val="32"/>
        </w:rPr>
        <w:t>，着重资助重点传统（经典）剧目复排，鼓励濒临失传剧种和基层戏曲院团、民营院团戏曲折子戏复排，扶持“天下第一团”及濒临失传剧种优秀剧目创作和人才培养，支持江苏小剧场精品剧目创作。资助立足国家重大战略布局和江苏发展总体规划，围绕乡村振兴、共建“一带一路”倡议、长江经济带发展、长三角一体化发展</w:t>
      </w:r>
      <w:r>
        <w:rPr>
          <w:rFonts w:ascii="仿宋" w:hAnsi="仿宋" w:eastAsia="仿宋" w:cs="Tahoma"/>
          <w:snapToGrid w:val="0"/>
          <w:color w:val="000000"/>
          <w:kern w:val="0"/>
          <w:sz w:val="32"/>
          <w:szCs w:val="32"/>
        </w:rPr>
        <w:t>等主题</w:t>
      </w:r>
      <w:r>
        <w:rPr>
          <w:rFonts w:hint="eastAsia" w:ascii="仿宋" w:hAnsi="仿宋" w:eastAsia="仿宋" w:cs="Tahoma"/>
          <w:snapToGrid w:val="0"/>
          <w:color w:val="000000"/>
          <w:kern w:val="0"/>
          <w:sz w:val="32"/>
          <w:szCs w:val="32"/>
        </w:rPr>
        <w:t>作品创作与传播；资助围绕中华人民共和国成立7</w:t>
      </w:r>
      <w:r>
        <w:rPr>
          <w:rFonts w:ascii="仿宋" w:hAnsi="仿宋" w:eastAsia="仿宋" w:cs="Tahoma"/>
          <w:snapToGrid w:val="0"/>
          <w:color w:val="000000"/>
          <w:kern w:val="0"/>
          <w:sz w:val="32"/>
          <w:szCs w:val="32"/>
        </w:rPr>
        <w:t>5</w:t>
      </w:r>
      <w:r>
        <w:rPr>
          <w:rFonts w:hint="eastAsia" w:ascii="仿宋" w:hAnsi="仿宋" w:eastAsia="仿宋" w:cs="Tahoma"/>
          <w:snapToGrid w:val="0"/>
          <w:color w:val="000000"/>
          <w:kern w:val="0"/>
          <w:sz w:val="32"/>
          <w:szCs w:val="32"/>
        </w:rPr>
        <w:t>周年，习近平总书记主持召开文艺座谈会1</w:t>
      </w:r>
      <w:r>
        <w:rPr>
          <w:rFonts w:ascii="仿宋" w:hAnsi="仿宋" w:eastAsia="仿宋" w:cs="Tahoma"/>
          <w:snapToGrid w:val="0"/>
          <w:color w:val="000000"/>
          <w:kern w:val="0"/>
          <w:sz w:val="32"/>
          <w:szCs w:val="32"/>
        </w:rPr>
        <w:t>0</w:t>
      </w:r>
      <w:r>
        <w:rPr>
          <w:rFonts w:hint="eastAsia" w:ascii="仿宋" w:hAnsi="仿宋" w:eastAsia="仿宋" w:cs="Tahoma"/>
          <w:snapToGrid w:val="0"/>
          <w:color w:val="000000"/>
          <w:kern w:val="0"/>
          <w:sz w:val="32"/>
          <w:szCs w:val="32"/>
        </w:rPr>
        <w:t>周年等重大时间节点的各类艺术创作项目；围绕中华文化走出去，以“中国元素、国际表达”讲好中国故事、传播中国声音，具有浓郁地方特色，高显示度的江苏文化标识的项目。</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二、申报程序</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一）申报主体在规定的申报受理期内，登陆江苏省文化和旅游厅官方网站（http://wlt.jiangsu.gov.cn）、江苏艺术基金网页（http://www.jsysjjgl.com）或江苏文惠网（http://www.jswenhui.com），通过江苏艺术基金网上申报管理系统，按要求填写申报表，上传申报材料。</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highlight w:val="none"/>
          <w:shd w:val="clear" w:color="auto" w:fill="FFFFFF"/>
        </w:rPr>
      </w:pPr>
      <w:r>
        <w:rPr>
          <w:rFonts w:hint="eastAsia" w:ascii="仿宋" w:hAnsi="仿宋" w:eastAsia="仿宋"/>
          <w:sz w:val="32"/>
          <w:szCs w:val="32"/>
          <w:shd w:val="clear" w:color="auto" w:fill="FFFFFF"/>
        </w:rPr>
        <w:t>（二）申报纸质材料（一式一份）由各设区市文化广电和旅游局审核汇总并统一报送江苏艺术基金管理中心（以下简称“管理中心”）；省直系统申报的纸质材料（一式一份）邮寄至管理中心；</w:t>
      </w:r>
      <w:r>
        <w:rPr>
          <w:rFonts w:hint="eastAsia" w:ascii="仿宋" w:hAnsi="仿宋" w:eastAsia="仿宋"/>
          <w:sz w:val="32"/>
          <w:szCs w:val="32"/>
          <w:highlight w:val="none"/>
          <w:shd w:val="clear" w:color="auto" w:fill="FFFFFF"/>
        </w:rPr>
        <w:t>高等院校所有申报项目纸质材料（一式一份）由高校统一组织报送至管理中心。</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（三）管理中心将对申报项目进行核查，符合相关规定的予以受理，不符合相关规定或提供申报材料不全的，不予受理。</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（四）对申报主体寄送的申报材料，管理中心按规定管理和使用，且不退还，请自行备份底稿。</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三、申报资质</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项目的申报主体为单位、机构（不含性质为机关法人的单位）或个人。申报主体为单位或机构的应在2</w:t>
      </w:r>
      <w:r>
        <w:rPr>
          <w:rFonts w:ascii="仿宋" w:hAnsi="仿宋" w:eastAsia="仿宋"/>
          <w:sz w:val="32"/>
          <w:szCs w:val="32"/>
          <w:shd w:val="clear" w:color="auto" w:fill="FFFFFF"/>
        </w:rPr>
        <w:t>022</w:t>
      </w:r>
      <w:r>
        <w:rPr>
          <w:rFonts w:hint="eastAsia" w:ascii="仿宋" w:hAnsi="仿宋" w:eastAsia="仿宋"/>
          <w:sz w:val="32"/>
          <w:szCs w:val="32"/>
          <w:shd w:val="clear" w:color="auto" w:fill="FFFFFF"/>
        </w:rPr>
        <w:t>年</w:t>
      </w:r>
      <w:r>
        <w:rPr>
          <w:rFonts w:ascii="仿宋" w:hAnsi="仿宋" w:eastAsia="仿宋"/>
          <w:sz w:val="32"/>
          <w:szCs w:val="32"/>
          <w:shd w:val="clear" w:color="auto" w:fill="FFFFFF"/>
        </w:rPr>
        <w:t>3</w:t>
      </w:r>
      <w:r>
        <w:rPr>
          <w:rFonts w:hint="eastAsia" w:ascii="仿宋" w:hAnsi="仿宋" w:eastAsia="仿宋"/>
          <w:sz w:val="32"/>
          <w:szCs w:val="32"/>
          <w:shd w:val="clear" w:color="auto" w:fill="FFFFFF"/>
        </w:rPr>
        <w:t>月</w:t>
      </w:r>
      <w:r>
        <w:rPr>
          <w:rFonts w:ascii="仿宋" w:hAnsi="仿宋" w:eastAsia="仿宋"/>
          <w:sz w:val="32"/>
          <w:szCs w:val="32"/>
          <w:shd w:val="clear" w:color="auto" w:fill="FFFFFF"/>
        </w:rPr>
        <w:t>1</w:t>
      </w:r>
      <w:r>
        <w:rPr>
          <w:rFonts w:hint="eastAsia" w:ascii="仿宋" w:hAnsi="仿宋" w:eastAsia="仿宋"/>
          <w:sz w:val="32"/>
          <w:szCs w:val="32"/>
          <w:shd w:val="clear" w:color="auto" w:fill="FFFFFF"/>
        </w:rPr>
        <w:t>日前在江苏省内同级行政机关登记、注册。因事业单位体制改革重新登记、注册的，登记、注册时间可与改革前连续计算。申报主体为个人的</w:t>
      </w:r>
      <w:bookmarkStart w:id="0" w:name="_GoBack"/>
      <w:r>
        <w:rPr>
          <w:rFonts w:hint="eastAsia" w:ascii="仿宋" w:hAnsi="仿宋" w:eastAsia="仿宋"/>
          <w:sz w:val="32"/>
          <w:szCs w:val="32"/>
          <w:shd w:val="clear" w:color="auto" w:fill="FFFFFF"/>
        </w:rPr>
        <w:t>应具有中华人民共和国江苏省户籍或在江苏缴纳社保满十二个月</w:t>
      </w:r>
      <w:bookmarkEnd w:id="0"/>
      <w:r>
        <w:rPr>
          <w:rFonts w:hint="eastAsia" w:ascii="仿宋" w:hAnsi="仿宋" w:eastAsia="仿宋"/>
          <w:sz w:val="32"/>
          <w:szCs w:val="32"/>
          <w:shd w:val="clear" w:color="auto" w:fill="FFFFFF"/>
        </w:rPr>
        <w:t>。</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四、申报时间</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本项目从</w:t>
      </w:r>
      <w:r>
        <w:rPr>
          <w:rFonts w:ascii="仿宋" w:hAnsi="仿宋" w:eastAsia="仿宋"/>
          <w:sz w:val="32"/>
          <w:szCs w:val="32"/>
          <w:shd w:val="clear" w:color="auto" w:fill="FFFFFF"/>
        </w:rPr>
        <w:t>2023</w:t>
      </w:r>
      <w:r>
        <w:rPr>
          <w:rFonts w:hint="eastAsia" w:ascii="仿宋" w:hAnsi="仿宋" w:eastAsia="仿宋"/>
          <w:sz w:val="32"/>
          <w:szCs w:val="32"/>
          <w:shd w:val="clear" w:color="auto" w:fill="FFFFFF"/>
        </w:rPr>
        <w:t>年1</w:t>
      </w:r>
      <w:r>
        <w:rPr>
          <w:rFonts w:ascii="仿宋" w:hAnsi="仿宋" w:eastAsia="仿宋"/>
          <w:sz w:val="32"/>
          <w:szCs w:val="32"/>
          <w:shd w:val="clear" w:color="auto" w:fill="FFFFFF"/>
        </w:rPr>
        <w:t>2</w:t>
      </w:r>
      <w:r>
        <w:rPr>
          <w:rFonts w:hint="eastAsia" w:ascii="仿宋" w:hAnsi="仿宋" w:eastAsia="仿宋"/>
          <w:sz w:val="32"/>
          <w:szCs w:val="32"/>
          <w:shd w:val="clear" w:color="auto" w:fill="FFFFFF"/>
        </w:rPr>
        <w:t>月</w:t>
      </w:r>
      <w:r>
        <w:rPr>
          <w:rFonts w:ascii="仿宋" w:hAnsi="仿宋" w:eastAsia="仿宋"/>
          <w:sz w:val="32"/>
          <w:szCs w:val="32"/>
          <w:shd w:val="clear" w:color="auto" w:fill="FFFFFF"/>
        </w:rPr>
        <w:t>28</w:t>
      </w:r>
      <w:r>
        <w:rPr>
          <w:rFonts w:hint="eastAsia" w:ascii="仿宋" w:hAnsi="仿宋" w:eastAsia="仿宋"/>
          <w:sz w:val="32"/>
          <w:szCs w:val="32"/>
          <w:shd w:val="clear" w:color="auto" w:fill="FFFFFF"/>
        </w:rPr>
        <w:t>日起开始申报，</w:t>
      </w:r>
      <w:r>
        <w:rPr>
          <w:rFonts w:hint="eastAsia" w:ascii="仿宋" w:hAnsi="仿宋" w:eastAsia="仿宋"/>
          <w:sz w:val="32"/>
          <w:szCs w:val="32"/>
          <w:highlight w:val="none"/>
          <w:shd w:val="clear" w:color="auto" w:fill="FFFFFF"/>
        </w:rPr>
        <w:t>至202</w:t>
      </w:r>
      <w:r>
        <w:rPr>
          <w:rFonts w:ascii="仿宋" w:hAnsi="仿宋" w:eastAsia="仿宋"/>
          <w:sz w:val="32"/>
          <w:szCs w:val="32"/>
          <w:highlight w:val="none"/>
          <w:shd w:val="clear" w:color="auto" w:fill="FFFFFF"/>
        </w:rPr>
        <w:t>4</w:t>
      </w:r>
      <w:r>
        <w:rPr>
          <w:rFonts w:hint="eastAsia" w:ascii="仿宋" w:hAnsi="仿宋" w:eastAsia="仿宋"/>
          <w:sz w:val="32"/>
          <w:szCs w:val="32"/>
          <w:highlight w:val="none"/>
          <w:shd w:val="clear" w:color="auto" w:fill="FFFFFF"/>
        </w:rPr>
        <w:t>年</w:t>
      </w:r>
      <w:r>
        <w:rPr>
          <w:rFonts w:ascii="仿宋" w:hAnsi="仿宋" w:eastAsia="仿宋"/>
          <w:sz w:val="32"/>
          <w:szCs w:val="32"/>
          <w:highlight w:val="none"/>
          <w:shd w:val="clear" w:color="auto" w:fill="FFFFFF"/>
        </w:rPr>
        <w:t>2</w:t>
      </w:r>
      <w:r>
        <w:rPr>
          <w:rFonts w:hint="eastAsia" w:ascii="仿宋" w:hAnsi="仿宋" w:eastAsia="仿宋"/>
          <w:sz w:val="32"/>
          <w:szCs w:val="32"/>
          <w:highlight w:val="none"/>
          <w:shd w:val="clear" w:color="auto" w:fill="FFFFFF"/>
        </w:rPr>
        <w:t>月</w:t>
      </w:r>
      <w:r>
        <w:rPr>
          <w:rFonts w:ascii="仿宋" w:hAnsi="仿宋" w:eastAsia="仿宋"/>
          <w:sz w:val="32"/>
          <w:szCs w:val="32"/>
          <w:highlight w:val="none"/>
          <w:shd w:val="clear" w:color="auto" w:fill="FFFFFF"/>
        </w:rPr>
        <w:t>25</w:t>
      </w:r>
      <w:r>
        <w:rPr>
          <w:rFonts w:hint="eastAsia" w:ascii="仿宋" w:hAnsi="仿宋" w:eastAsia="仿宋"/>
          <w:sz w:val="32"/>
          <w:szCs w:val="32"/>
          <w:highlight w:val="none"/>
          <w:shd w:val="clear" w:color="auto" w:fill="FFFFFF"/>
        </w:rPr>
        <w:t>日截止申报</w:t>
      </w:r>
      <w:r>
        <w:rPr>
          <w:rFonts w:hint="eastAsia" w:ascii="仿宋" w:hAnsi="仿宋" w:eastAsia="仿宋"/>
          <w:sz w:val="32"/>
          <w:szCs w:val="32"/>
          <w:shd w:val="clear" w:color="auto" w:fill="FFFFFF"/>
        </w:rPr>
        <w:t>。管理中心在申报期内受理项目申报，并提供相关咨询服务，逾期不予受理。</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五、签约实施</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（一）确定申报项目为立项资助项目后，管理中心将与申报主体签订《江苏艺术基金资助项目协议书》。《江苏艺术基金（一般项目）资助项目申报表》作为协议书附件，具有同等约束力。</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（二）申报项目立项后，申报主体应同意按照艺术基金安排，参加艺术基金组织的出版、展演等公益性活动。</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（三）江苏艺术基金按一定比例配套奖励国家艺术基金年度重点资助项目。</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六、监督验收</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（一）资助项目应于202</w:t>
      </w:r>
      <w:r>
        <w:rPr>
          <w:rFonts w:ascii="仿宋" w:hAnsi="仿宋" w:eastAsia="仿宋" w:cs="Tahoma"/>
          <w:snapToGrid w:val="0"/>
          <w:color w:val="000000"/>
          <w:kern w:val="0"/>
          <w:sz w:val="32"/>
          <w:szCs w:val="32"/>
        </w:rPr>
        <w:t>5</w:t>
      </w:r>
      <w:r>
        <w:rPr>
          <w:rFonts w:hint="eastAsia" w:ascii="仿宋" w:hAnsi="仿宋" w:eastAsia="仿宋" w:cs="Tahoma"/>
          <w:snapToGrid w:val="0"/>
          <w:color w:val="000000"/>
          <w:kern w:val="0"/>
          <w:sz w:val="32"/>
          <w:szCs w:val="32"/>
        </w:rPr>
        <w:t>年</w:t>
      </w:r>
      <w:r>
        <w:rPr>
          <w:rFonts w:ascii="仿宋" w:hAnsi="仿宋" w:eastAsia="仿宋" w:cs="Tahoma"/>
          <w:snapToGrid w:val="0"/>
          <w:color w:val="000000"/>
          <w:kern w:val="0"/>
          <w:sz w:val="32"/>
          <w:szCs w:val="32"/>
        </w:rPr>
        <w:t>6</w:t>
      </w:r>
      <w:r>
        <w:rPr>
          <w:rFonts w:hint="eastAsia" w:ascii="仿宋" w:hAnsi="仿宋" w:eastAsia="仿宋" w:cs="Tahoma"/>
          <w:snapToGrid w:val="0"/>
          <w:color w:val="000000"/>
          <w:kern w:val="0"/>
          <w:sz w:val="32"/>
          <w:szCs w:val="32"/>
        </w:rPr>
        <w:t>月30日前完成结项验收。如确需延期完成，必须于</w:t>
      </w:r>
      <w:r>
        <w:rPr>
          <w:rFonts w:ascii="仿宋" w:hAnsi="仿宋" w:eastAsia="仿宋" w:cs="Tahoma"/>
          <w:snapToGrid w:val="0"/>
          <w:color w:val="000000"/>
          <w:kern w:val="0"/>
          <w:sz w:val="32"/>
          <w:szCs w:val="32"/>
        </w:rPr>
        <w:t>2025</w:t>
      </w:r>
      <w:r>
        <w:rPr>
          <w:rFonts w:hint="eastAsia" w:ascii="仿宋" w:hAnsi="仿宋" w:eastAsia="仿宋" w:cs="Tahoma"/>
          <w:snapToGrid w:val="0"/>
          <w:color w:val="000000"/>
          <w:kern w:val="0"/>
          <w:sz w:val="32"/>
          <w:szCs w:val="32"/>
        </w:rPr>
        <w:t>年</w:t>
      </w:r>
      <w:r>
        <w:rPr>
          <w:rFonts w:ascii="仿宋" w:hAnsi="仿宋" w:eastAsia="仿宋" w:cs="Tahoma"/>
          <w:snapToGrid w:val="0"/>
          <w:color w:val="000000"/>
          <w:kern w:val="0"/>
          <w:sz w:val="32"/>
          <w:szCs w:val="32"/>
        </w:rPr>
        <w:t>4</w:t>
      </w:r>
      <w:r>
        <w:rPr>
          <w:rFonts w:hint="eastAsia" w:ascii="仿宋" w:hAnsi="仿宋" w:eastAsia="仿宋" w:cs="Tahoma"/>
          <w:snapToGrid w:val="0"/>
          <w:color w:val="000000"/>
          <w:kern w:val="0"/>
          <w:sz w:val="32"/>
          <w:szCs w:val="32"/>
        </w:rPr>
        <w:t>月</w:t>
      </w:r>
      <w:r>
        <w:rPr>
          <w:rFonts w:ascii="仿宋" w:hAnsi="仿宋" w:eastAsia="仿宋" w:cs="Tahoma"/>
          <w:snapToGrid w:val="0"/>
          <w:color w:val="000000"/>
          <w:kern w:val="0"/>
          <w:sz w:val="32"/>
          <w:szCs w:val="32"/>
        </w:rPr>
        <w:t>30</w:t>
      </w:r>
      <w:r>
        <w:rPr>
          <w:rFonts w:hint="eastAsia" w:ascii="仿宋" w:hAnsi="仿宋" w:eastAsia="仿宋" w:cs="Tahoma"/>
          <w:snapToGrid w:val="0"/>
          <w:color w:val="000000"/>
          <w:kern w:val="0"/>
          <w:sz w:val="32"/>
          <w:szCs w:val="32"/>
        </w:rPr>
        <w:t>日前以书面形式向管理中心提出申请，获得批准后方可延期。</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二）管理中心将按照江苏艺术基金资助项目监督管理相关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（四）资助项目结项验收时，申报主体应按要求提交完整的成果材料。</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五）申报主体有以下情形的，管理中心有权对该项目重新审核，并依据其严重程度分别或同时采取暂缓拨款、终止拨款、追回全部资助资金、撤销对该项目的资助以及三年内暂停申报主体申报资格等相应措施，并依法追究相关单位或机构责任：</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1.申报主体在项目实施过程中，侵犯任何第三方的知识产权及其他合法权益。</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2.项目实施内容、经费支出、结项成果等与《江苏艺术基金资助项目协议书》的约定存在重大差异。</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3.申报主体存在其他弄虚作假、挪用资助资金、违反《江苏艺术基金资助项目协议书》等情形。</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4.申报主体有其他严重违法违纪行为。</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七、其他</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一）资助项目在通过验收前，未经管理中心书面同意，实施主体不得自行安排资助项目的公开出版、演出或出售资助项目的作品。验收合格后，方可开展上述活动并且应在相关材料显著位置注明该项目为“江苏艺术基金资助项目”。</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（二）艺术基金对申报主体在项目申报、实施过程中和第三方产生的纠纷不承担任何责任。</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（三）管理中心对本指南拥有最终解释权。</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（四）本指南自发布之日起实施。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华文中宋">
    <w:altName w:val="汉仪书宋二KW"/>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Tahoma">
    <w:panose1 w:val="020B060403050404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4699436"/>
      <w:docPartObj>
        <w:docPartGallery w:val="autotext"/>
      </w:docPartObj>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0329A"/>
    <w:multiLevelType w:val="multilevel"/>
    <w:tmpl w:val="2070329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mN2RkNzI4ZTczYTM4Y2E5MDFiNmEwOWY5MDNlNjgifQ=="/>
  </w:docVars>
  <w:rsids>
    <w:rsidRoot w:val="006B70A8"/>
    <w:rsid w:val="00037DE9"/>
    <w:rsid w:val="00065C84"/>
    <w:rsid w:val="00083C05"/>
    <w:rsid w:val="000A0335"/>
    <w:rsid w:val="000A437D"/>
    <w:rsid w:val="000A4AC3"/>
    <w:rsid w:val="000A655D"/>
    <w:rsid w:val="000C1CE1"/>
    <w:rsid w:val="000C7168"/>
    <w:rsid w:val="000D3AEE"/>
    <w:rsid w:val="001074F0"/>
    <w:rsid w:val="00127B69"/>
    <w:rsid w:val="00164E38"/>
    <w:rsid w:val="001657A4"/>
    <w:rsid w:val="001863DE"/>
    <w:rsid w:val="00194EE2"/>
    <w:rsid w:val="001D0D7E"/>
    <w:rsid w:val="00215F1B"/>
    <w:rsid w:val="00240C6B"/>
    <w:rsid w:val="0025571D"/>
    <w:rsid w:val="00274A78"/>
    <w:rsid w:val="0028312A"/>
    <w:rsid w:val="002845AE"/>
    <w:rsid w:val="0029054F"/>
    <w:rsid w:val="002975C4"/>
    <w:rsid w:val="002A1FD6"/>
    <w:rsid w:val="002A5FBD"/>
    <w:rsid w:val="002C63B3"/>
    <w:rsid w:val="002E42B8"/>
    <w:rsid w:val="00303136"/>
    <w:rsid w:val="003044C8"/>
    <w:rsid w:val="00313DE6"/>
    <w:rsid w:val="00325FE3"/>
    <w:rsid w:val="003418D1"/>
    <w:rsid w:val="00350A87"/>
    <w:rsid w:val="00362EAD"/>
    <w:rsid w:val="00367DEE"/>
    <w:rsid w:val="00376636"/>
    <w:rsid w:val="00386430"/>
    <w:rsid w:val="00392D5F"/>
    <w:rsid w:val="003B3F90"/>
    <w:rsid w:val="003C5E73"/>
    <w:rsid w:val="003F0D2B"/>
    <w:rsid w:val="004230FD"/>
    <w:rsid w:val="00431A46"/>
    <w:rsid w:val="00482002"/>
    <w:rsid w:val="004C7CCE"/>
    <w:rsid w:val="004D6B7F"/>
    <w:rsid w:val="004D7BE3"/>
    <w:rsid w:val="004F6179"/>
    <w:rsid w:val="005164FD"/>
    <w:rsid w:val="0052620E"/>
    <w:rsid w:val="00536D1F"/>
    <w:rsid w:val="00553D22"/>
    <w:rsid w:val="00563951"/>
    <w:rsid w:val="00580195"/>
    <w:rsid w:val="00582397"/>
    <w:rsid w:val="00583567"/>
    <w:rsid w:val="00584636"/>
    <w:rsid w:val="005B409B"/>
    <w:rsid w:val="005C40A8"/>
    <w:rsid w:val="005C75F5"/>
    <w:rsid w:val="005D7AAD"/>
    <w:rsid w:val="005F3871"/>
    <w:rsid w:val="005F5BB8"/>
    <w:rsid w:val="00603930"/>
    <w:rsid w:val="006169C7"/>
    <w:rsid w:val="00623954"/>
    <w:rsid w:val="00624DF8"/>
    <w:rsid w:val="00653D0D"/>
    <w:rsid w:val="0066070A"/>
    <w:rsid w:val="006670F4"/>
    <w:rsid w:val="00677C2D"/>
    <w:rsid w:val="00680754"/>
    <w:rsid w:val="0068191F"/>
    <w:rsid w:val="00691E5D"/>
    <w:rsid w:val="00696F16"/>
    <w:rsid w:val="006B3526"/>
    <w:rsid w:val="006B4793"/>
    <w:rsid w:val="006B70A8"/>
    <w:rsid w:val="006C25AE"/>
    <w:rsid w:val="006F0793"/>
    <w:rsid w:val="00707FA6"/>
    <w:rsid w:val="007168F5"/>
    <w:rsid w:val="007273E9"/>
    <w:rsid w:val="007366AF"/>
    <w:rsid w:val="0073693B"/>
    <w:rsid w:val="00776681"/>
    <w:rsid w:val="00785061"/>
    <w:rsid w:val="0078624E"/>
    <w:rsid w:val="007A787E"/>
    <w:rsid w:val="007B1616"/>
    <w:rsid w:val="007B461C"/>
    <w:rsid w:val="007B50F9"/>
    <w:rsid w:val="007B6153"/>
    <w:rsid w:val="007D0894"/>
    <w:rsid w:val="007F036A"/>
    <w:rsid w:val="00801B76"/>
    <w:rsid w:val="00805159"/>
    <w:rsid w:val="0083127C"/>
    <w:rsid w:val="00837DE6"/>
    <w:rsid w:val="00841DED"/>
    <w:rsid w:val="0084364C"/>
    <w:rsid w:val="00843783"/>
    <w:rsid w:val="00854138"/>
    <w:rsid w:val="00855A4A"/>
    <w:rsid w:val="008670D9"/>
    <w:rsid w:val="008A589B"/>
    <w:rsid w:val="008B6C8C"/>
    <w:rsid w:val="008C03FF"/>
    <w:rsid w:val="008F55BD"/>
    <w:rsid w:val="00901D88"/>
    <w:rsid w:val="009026C8"/>
    <w:rsid w:val="00903076"/>
    <w:rsid w:val="00927ADC"/>
    <w:rsid w:val="00955FE9"/>
    <w:rsid w:val="00961C91"/>
    <w:rsid w:val="00964695"/>
    <w:rsid w:val="00972BBC"/>
    <w:rsid w:val="009B4520"/>
    <w:rsid w:val="009E450C"/>
    <w:rsid w:val="009F32FE"/>
    <w:rsid w:val="00A051CC"/>
    <w:rsid w:val="00A06ECE"/>
    <w:rsid w:val="00A14DB6"/>
    <w:rsid w:val="00A94FEF"/>
    <w:rsid w:val="00AB2AE9"/>
    <w:rsid w:val="00AB785E"/>
    <w:rsid w:val="00AC74B4"/>
    <w:rsid w:val="00AD7CBA"/>
    <w:rsid w:val="00AE03D5"/>
    <w:rsid w:val="00AE250A"/>
    <w:rsid w:val="00B038C9"/>
    <w:rsid w:val="00B10708"/>
    <w:rsid w:val="00B200C6"/>
    <w:rsid w:val="00B450A8"/>
    <w:rsid w:val="00B71FB9"/>
    <w:rsid w:val="00B8317D"/>
    <w:rsid w:val="00B83E8E"/>
    <w:rsid w:val="00BB060B"/>
    <w:rsid w:val="00BC00CF"/>
    <w:rsid w:val="00BC3578"/>
    <w:rsid w:val="00C01ECA"/>
    <w:rsid w:val="00C14931"/>
    <w:rsid w:val="00C22A05"/>
    <w:rsid w:val="00C2569D"/>
    <w:rsid w:val="00C55CDC"/>
    <w:rsid w:val="00C64A1A"/>
    <w:rsid w:val="00CC3B5B"/>
    <w:rsid w:val="00CC3FB8"/>
    <w:rsid w:val="00CD289A"/>
    <w:rsid w:val="00D055CE"/>
    <w:rsid w:val="00D20312"/>
    <w:rsid w:val="00D4120C"/>
    <w:rsid w:val="00D4327E"/>
    <w:rsid w:val="00D54B20"/>
    <w:rsid w:val="00D81F8C"/>
    <w:rsid w:val="00D91FB5"/>
    <w:rsid w:val="00DB1DBD"/>
    <w:rsid w:val="00DB5620"/>
    <w:rsid w:val="00DB5D0D"/>
    <w:rsid w:val="00DE001F"/>
    <w:rsid w:val="00DE7669"/>
    <w:rsid w:val="00DF760A"/>
    <w:rsid w:val="00E269E3"/>
    <w:rsid w:val="00E45ADA"/>
    <w:rsid w:val="00E6367C"/>
    <w:rsid w:val="00E64CB7"/>
    <w:rsid w:val="00E93A92"/>
    <w:rsid w:val="00EB3832"/>
    <w:rsid w:val="00EB60A9"/>
    <w:rsid w:val="00EC2130"/>
    <w:rsid w:val="00F27579"/>
    <w:rsid w:val="00F64936"/>
    <w:rsid w:val="00F736CF"/>
    <w:rsid w:val="00F8022C"/>
    <w:rsid w:val="00F928D3"/>
    <w:rsid w:val="00F94631"/>
    <w:rsid w:val="00F967BF"/>
    <w:rsid w:val="00FC044B"/>
    <w:rsid w:val="00FC45A7"/>
    <w:rsid w:val="00FC4AE9"/>
    <w:rsid w:val="00FD0052"/>
    <w:rsid w:val="00FF4EE5"/>
    <w:rsid w:val="1A84515B"/>
    <w:rsid w:val="D7FD690D"/>
    <w:rsid w:val="EF6F0F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qFormat/>
    <w:uiPriority w:val="99"/>
    <w:rPr>
      <w:b/>
      <w:bCs/>
    </w:rPr>
  </w:style>
  <w:style w:type="character" w:styleId="11">
    <w:name w:val="Strong"/>
    <w:qFormat/>
    <w:uiPriority w:val="0"/>
    <w:rPr>
      <w:rFonts w:cs="Times New Roman"/>
      <w:b/>
      <w:bCs/>
    </w:rPr>
  </w:style>
  <w:style w:type="character" w:styleId="12">
    <w:name w:val="annotation reference"/>
    <w:basedOn w:val="10"/>
    <w:semiHidden/>
    <w:unhideWhenUsed/>
    <w:qFormat/>
    <w:uiPriority w:val="99"/>
    <w:rPr>
      <w:sz w:val="21"/>
      <w:szCs w:val="21"/>
    </w:rPr>
  </w:style>
  <w:style w:type="character" w:customStyle="1" w:styleId="13">
    <w:name w:val="标题 1 字符"/>
    <w:basedOn w:val="10"/>
    <w:link w:val="2"/>
    <w:qFormat/>
    <w:uiPriority w:val="9"/>
    <w:rPr>
      <w:b/>
      <w:bCs/>
      <w:kern w:val="44"/>
      <w:sz w:val="44"/>
      <w:szCs w:val="44"/>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框文本 字符"/>
    <w:basedOn w:val="10"/>
    <w:link w:val="4"/>
    <w:semiHidden/>
    <w:qFormat/>
    <w:uiPriority w:val="99"/>
    <w:rPr>
      <w:sz w:val="18"/>
      <w:szCs w:val="18"/>
    </w:rPr>
  </w:style>
  <w:style w:type="character" w:customStyle="1" w:styleId="17">
    <w:name w:val="批注文字 字符"/>
    <w:basedOn w:val="10"/>
    <w:link w:val="3"/>
    <w:semiHidden/>
    <w:qFormat/>
    <w:uiPriority w:val="99"/>
  </w:style>
  <w:style w:type="character" w:customStyle="1" w:styleId="18">
    <w:name w:val="批注主题 字符"/>
    <w:basedOn w:val="17"/>
    <w:link w:val="8"/>
    <w:semiHidden/>
    <w:qFormat/>
    <w:uiPriority w:val="99"/>
    <w:rPr>
      <w:b/>
      <w:bCs/>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339</Words>
  <Characters>1935</Characters>
  <Lines>16</Lines>
  <Paragraphs>4</Paragraphs>
  <TotalTime>1</TotalTime>
  <ScaleCrop>false</ScaleCrop>
  <LinksUpToDate>false</LinksUpToDate>
  <CharactersWithSpaces>2270</CharactersWithSpaces>
  <Application>WPS Office_5.1.1.7662_F1E327BC-269C-435d-A152-05C5408002CA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2023-12-27T22:17:00Z</dcterms:created>
  <dc:creator>user</dc:creator>
  <cp:lastModifiedBy>Rumi</cp:lastModifiedBy>
  <cp:lastPrinted>2023-12-15T18:29:00Z</cp:lastPrinted>
  <dcterms:modified xsi:type="dcterms:W3CDTF">2024-01-11T10:01:30Z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7FDEA02F030043C380F3ED177A932331</vt:lpwstr>
  </property>
</Properties>
</file>